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892FA" w14:textId="77777777" w:rsidR="00B606B8" w:rsidRDefault="00B606B8" w:rsidP="00B606B8">
      <w:pPr>
        <w:ind w:right="42" w:firstLine="709"/>
        <w:jc w:val="right"/>
        <w:rPr>
          <w:b/>
          <w:i/>
          <w:sz w:val="20"/>
          <w:lang w:val="bg-BG"/>
        </w:rPr>
      </w:pPr>
      <w:r>
        <w:rPr>
          <w:b/>
          <w:i/>
          <w:sz w:val="20"/>
          <w:lang w:val="bg-BG"/>
        </w:rPr>
        <w:t>Приложение  №- 4</w:t>
      </w:r>
    </w:p>
    <w:p w14:paraId="650B660C" w14:textId="77777777" w:rsidR="00B606B8" w:rsidRDefault="00B606B8" w:rsidP="00B606B8">
      <w:pPr>
        <w:jc w:val="right"/>
        <w:rPr>
          <w:b/>
          <w:sz w:val="28"/>
          <w:lang w:val="bg-BG"/>
        </w:rPr>
      </w:pPr>
    </w:p>
    <w:p w14:paraId="0156C36A" w14:textId="77777777" w:rsidR="00B606B8" w:rsidRDefault="00B606B8" w:rsidP="00B606B8">
      <w:pPr>
        <w:shd w:val="clear" w:color="auto" w:fill="C0C0C0"/>
        <w:spacing w:line="360" w:lineRule="auto"/>
        <w:ind w:right="43" w:firstLine="270"/>
        <w:jc w:val="center"/>
        <w:rPr>
          <w:sz w:val="22"/>
          <w:szCs w:val="22"/>
          <w:lang w:val="bg-BG"/>
        </w:rPr>
      </w:pPr>
      <w:r>
        <w:rPr>
          <w:b/>
          <w:sz w:val="28"/>
          <w:lang w:val="bg-BG"/>
        </w:rPr>
        <w:t>СИЛИ И СРЕДСВАТА ОТ МОДУЛНИТЕ ФОРМИРОВАНИЯ НА ВТОРА МЕХАНИЗИРАНА БРИГАДА</w:t>
      </w:r>
    </w:p>
    <w:p w14:paraId="78935FF1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</w:p>
    <w:p w14:paraId="48D4A7B9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</w:p>
    <w:p w14:paraId="21333D4D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</w:p>
    <w:p w14:paraId="45C36553" w14:textId="77777777" w:rsidR="00B606B8" w:rsidRDefault="00B606B8" w:rsidP="00B606B8">
      <w:pPr>
        <w:spacing w:line="360" w:lineRule="auto"/>
        <w:ind w:firstLine="720"/>
        <w:jc w:val="both"/>
        <w:rPr>
          <w:szCs w:val="24"/>
          <w:lang w:val="bg-BG"/>
        </w:rPr>
      </w:pPr>
      <w:r>
        <w:rPr>
          <w:szCs w:val="24"/>
          <w:lang w:val="bg-BG"/>
        </w:rPr>
        <w:t>На територията на Република България е възможно възникването на различни по вид бедствия, които могат да предизвикат значителни загуби на човешки и материални ресурси и да окажат неблагоприятно влияние на националната сигурност и стабилност в региона. Прогнозата на възможните събития показва, че тяхното проявление води до сериозни затруднения в нормалната работа на инфраструктурата в районите на бедствия, нарушаване на жизненоважни системи за управление и нормалното функциониране на националното стопанство и условията за живот на населението.</w:t>
      </w:r>
    </w:p>
    <w:p w14:paraId="7412FD63" w14:textId="77777777" w:rsidR="00B606B8" w:rsidRDefault="00B606B8" w:rsidP="00B606B8">
      <w:pPr>
        <w:spacing w:line="360" w:lineRule="auto"/>
        <w:ind w:firstLine="720"/>
        <w:jc w:val="both"/>
        <w:rPr>
          <w:szCs w:val="24"/>
          <w:lang w:val="bg-BG"/>
        </w:rPr>
      </w:pPr>
      <w:r>
        <w:rPr>
          <w:szCs w:val="24"/>
          <w:lang w:val="bg-BG"/>
        </w:rPr>
        <w:t>За овладяване на кризисните ситуации, намаляване на загубите и ликвидиране на последствията е необходимо предварително прогнозиране, планиране и съгласуване на мероприятията по защитата на населението и собствеността.</w:t>
      </w:r>
    </w:p>
    <w:p w14:paraId="178FAFCF" w14:textId="77777777" w:rsidR="00B606B8" w:rsidRDefault="00B606B8" w:rsidP="00B606B8">
      <w:pPr>
        <w:spacing w:line="360" w:lineRule="auto"/>
        <w:ind w:firstLine="720"/>
        <w:jc w:val="both"/>
        <w:rPr>
          <w:szCs w:val="24"/>
          <w:lang w:val="bg-BG"/>
        </w:rPr>
      </w:pPr>
      <w:r>
        <w:rPr>
          <w:szCs w:val="24"/>
          <w:lang w:val="bg-BG"/>
        </w:rPr>
        <w:t>Характерът на последствията от вероятните бедствия изисква готовност за използване на всички способи и средства за защита на населението и националното стопанство и провеждане на предварителни мероприятия за тяхното недопускане и намаляване на вредното им въздействие.</w:t>
      </w:r>
    </w:p>
    <w:p w14:paraId="7E5860F3" w14:textId="77777777" w:rsidR="00B606B8" w:rsidRDefault="00B606B8" w:rsidP="00B606B8">
      <w:pPr>
        <w:spacing w:line="360" w:lineRule="auto"/>
        <w:ind w:firstLine="720"/>
        <w:jc w:val="both"/>
        <w:rPr>
          <w:szCs w:val="24"/>
          <w:lang w:val="bg-BG"/>
        </w:rPr>
      </w:pPr>
      <w:r>
        <w:rPr>
          <w:szCs w:val="24"/>
          <w:lang w:val="bg-BG"/>
        </w:rPr>
        <w:t>Изключително важно значение имат предварително заделените сили и средства за успешната дейност по оказване помощ на населението при възникване на бедствия.</w:t>
      </w:r>
    </w:p>
    <w:p w14:paraId="1F8C58CB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ab/>
        <w:t xml:space="preserve">Формированията за овладяване и/или преодоляване на последствията при бедствия (ФОППБ) от 2 механизирана бригада са специализирани за действия при земетресения и са окомплектовани от щатния личен състав и техника на военните формирования от </w:t>
      </w:r>
      <w:r>
        <w:rPr>
          <w:szCs w:val="24"/>
          <w:lang w:val="ru-RU"/>
        </w:rPr>
        <w:t xml:space="preserve">                       </w:t>
      </w:r>
      <w:r>
        <w:rPr>
          <w:szCs w:val="24"/>
          <w:lang w:val="bg-BG"/>
        </w:rPr>
        <w:t xml:space="preserve">2 механизирана бригада. </w:t>
      </w:r>
    </w:p>
    <w:p w14:paraId="663729CD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>Осигурени са с материални средства и имущества от наличните във 2 механизирана бригада.</w:t>
      </w:r>
    </w:p>
    <w:p w14:paraId="6D4B974E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>Формированията за овладяване и/или преодоляване на последствията при бедствия (ФОППБ) от 2 механизирана бригада, поддържат готовност и при необходимост се развръщат в района на бедствието, във взаимодействие с централните и териториалните органи на изпълнителната власт извършат действия по оказване помощ на населението при бедствия.</w:t>
      </w:r>
    </w:p>
    <w:p w14:paraId="07F87284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>Общите задачите на ФОППБ са регламентирани в Закона за защита при бедствия, Закона за отбраната и въоръжените сили на Република България и плановете за оказване на помощ на населението при бедствия.</w:t>
      </w:r>
    </w:p>
    <w:p w14:paraId="614DEA13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</w:p>
    <w:p w14:paraId="0519B69E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</w:p>
    <w:p w14:paraId="467F8B76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>ФОППБ от 2 механизирана бригада, нарастват усилията на силите на другите държавни органи и тези на изпълнителната власт. Те се привличат след изчерпване на възможностите на специализираните държавни органи и след като условията изискват по-големи количества хора, техника или специалисти, с които другите не разполагат.</w:t>
      </w:r>
    </w:p>
    <w:p w14:paraId="26161352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Участието в дейността по оказване помощ на населението става по искане от министерствата, ведомствата, </w:t>
      </w:r>
      <w:r>
        <w:rPr>
          <w:b/>
          <w:szCs w:val="24"/>
          <w:lang w:val="bg-BG"/>
        </w:rPr>
        <w:t>областните управители</w:t>
      </w:r>
      <w:r>
        <w:rPr>
          <w:szCs w:val="24"/>
          <w:lang w:val="bg-BG"/>
        </w:rPr>
        <w:t xml:space="preserve"> и кметовете на общините, след разрешение по команден ред от Командира на Сухопътните войски и оповестяване по действащата комуникационно-информационна система на Командването на Сухопътните войски по сигнал </w:t>
      </w:r>
      <w:r>
        <w:rPr>
          <w:b/>
          <w:szCs w:val="24"/>
          <w:lang w:val="bg-BG"/>
        </w:rPr>
        <w:t>“БЕДСТВИЕ”</w:t>
      </w:r>
      <w:r>
        <w:rPr>
          <w:szCs w:val="24"/>
          <w:lang w:val="bg-BG"/>
        </w:rPr>
        <w:t>.</w:t>
      </w:r>
    </w:p>
    <w:p w14:paraId="37F00862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proofErr w:type="spellStart"/>
      <w:r>
        <w:rPr>
          <w:szCs w:val="24"/>
          <w:lang w:val="ru-RU"/>
        </w:rPr>
        <w:t>Формированията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оказват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помощ</w:t>
      </w:r>
      <w:proofErr w:type="spellEnd"/>
      <w:r>
        <w:rPr>
          <w:szCs w:val="24"/>
          <w:lang w:val="ru-RU"/>
        </w:rPr>
        <w:t xml:space="preserve"> на </w:t>
      </w:r>
      <w:proofErr w:type="spellStart"/>
      <w:r>
        <w:rPr>
          <w:szCs w:val="24"/>
          <w:lang w:val="ru-RU"/>
        </w:rPr>
        <w:t>населението</w:t>
      </w:r>
      <w:proofErr w:type="spellEnd"/>
      <w:r>
        <w:rPr>
          <w:szCs w:val="24"/>
          <w:lang w:val="ru-RU"/>
        </w:rPr>
        <w:t xml:space="preserve"> в </w:t>
      </w:r>
      <w:proofErr w:type="spellStart"/>
      <w:r>
        <w:rPr>
          <w:szCs w:val="24"/>
          <w:lang w:val="ru-RU"/>
        </w:rPr>
        <w:t>административната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област</w:t>
      </w:r>
      <w:proofErr w:type="spellEnd"/>
      <w:r>
        <w:rPr>
          <w:szCs w:val="24"/>
          <w:lang w:val="ru-RU"/>
        </w:rPr>
        <w:t xml:space="preserve"> в </w:t>
      </w:r>
      <w:proofErr w:type="spellStart"/>
      <w:r>
        <w:rPr>
          <w:szCs w:val="24"/>
          <w:lang w:val="ru-RU"/>
        </w:rPr>
        <w:t>която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са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дислоцирани</w:t>
      </w:r>
      <w:proofErr w:type="spellEnd"/>
      <w:r>
        <w:rPr>
          <w:szCs w:val="24"/>
          <w:lang w:val="ru-RU"/>
        </w:rPr>
        <w:t xml:space="preserve">, </w:t>
      </w:r>
      <w:proofErr w:type="spellStart"/>
      <w:r>
        <w:rPr>
          <w:szCs w:val="24"/>
          <w:lang w:val="ru-RU"/>
        </w:rPr>
        <w:t>като</w:t>
      </w:r>
      <w:proofErr w:type="spellEnd"/>
      <w:r>
        <w:rPr>
          <w:szCs w:val="24"/>
          <w:lang w:val="ru-RU"/>
        </w:rPr>
        <w:t xml:space="preserve"> при </w:t>
      </w:r>
      <w:proofErr w:type="spellStart"/>
      <w:r>
        <w:rPr>
          <w:szCs w:val="24"/>
          <w:lang w:val="ru-RU"/>
        </w:rPr>
        <w:t>необходимост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могат</w:t>
      </w:r>
      <w:proofErr w:type="spellEnd"/>
      <w:r>
        <w:rPr>
          <w:szCs w:val="24"/>
          <w:lang w:val="ru-RU"/>
        </w:rPr>
        <w:t xml:space="preserve"> да </w:t>
      </w:r>
      <w:proofErr w:type="spellStart"/>
      <w:r>
        <w:rPr>
          <w:szCs w:val="24"/>
          <w:lang w:val="ru-RU"/>
        </w:rPr>
        <w:t>действат</w:t>
      </w:r>
      <w:proofErr w:type="spellEnd"/>
      <w:r>
        <w:rPr>
          <w:szCs w:val="24"/>
          <w:lang w:val="ru-RU"/>
        </w:rPr>
        <w:t xml:space="preserve"> на </w:t>
      </w:r>
      <w:proofErr w:type="spellStart"/>
      <w:r>
        <w:rPr>
          <w:szCs w:val="24"/>
          <w:lang w:val="ru-RU"/>
        </w:rPr>
        <w:t>територията</w:t>
      </w:r>
      <w:proofErr w:type="spellEnd"/>
      <w:r>
        <w:rPr>
          <w:szCs w:val="24"/>
          <w:lang w:val="ru-RU"/>
        </w:rPr>
        <w:t xml:space="preserve"> на </w:t>
      </w:r>
      <w:proofErr w:type="spellStart"/>
      <w:r>
        <w:rPr>
          <w:szCs w:val="24"/>
          <w:lang w:val="ru-RU"/>
        </w:rPr>
        <w:t>цялата</w:t>
      </w:r>
      <w:proofErr w:type="spellEnd"/>
      <w:r>
        <w:rPr>
          <w:szCs w:val="24"/>
          <w:lang w:val="ru-RU"/>
        </w:rPr>
        <w:t xml:space="preserve"> страна, в </w:t>
      </w:r>
      <w:proofErr w:type="spellStart"/>
      <w:r>
        <w:rPr>
          <w:szCs w:val="24"/>
          <w:lang w:val="ru-RU"/>
        </w:rPr>
        <w:t>съответствие</w:t>
      </w:r>
      <w:proofErr w:type="spellEnd"/>
      <w:r>
        <w:rPr>
          <w:szCs w:val="24"/>
          <w:lang w:val="ru-RU"/>
        </w:rPr>
        <w:t xml:space="preserve"> с </w:t>
      </w:r>
      <w:proofErr w:type="spellStart"/>
      <w:r>
        <w:rPr>
          <w:szCs w:val="24"/>
          <w:lang w:val="ru-RU"/>
        </w:rPr>
        <w:t>решението</w:t>
      </w:r>
      <w:proofErr w:type="spellEnd"/>
      <w:r>
        <w:rPr>
          <w:szCs w:val="24"/>
          <w:lang w:val="ru-RU"/>
        </w:rPr>
        <w:t xml:space="preserve"> за </w:t>
      </w:r>
      <w:proofErr w:type="spellStart"/>
      <w:r>
        <w:rPr>
          <w:szCs w:val="24"/>
          <w:lang w:val="ru-RU"/>
        </w:rPr>
        <w:t>тяхното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използване</w:t>
      </w:r>
      <w:proofErr w:type="spellEnd"/>
      <w:r>
        <w:rPr>
          <w:szCs w:val="24"/>
          <w:lang w:val="ru-RU"/>
        </w:rPr>
        <w:t xml:space="preserve"> и </w:t>
      </w:r>
      <w:proofErr w:type="spellStart"/>
      <w:r>
        <w:rPr>
          <w:szCs w:val="24"/>
          <w:lang w:val="ru-RU"/>
        </w:rPr>
        <w:t>изготвения</w:t>
      </w:r>
      <w:proofErr w:type="spellEnd"/>
      <w:r>
        <w:rPr>
          <w:szCs w:val="24"/>
          <w:lang w:val="ru-RU"/>
        </w:rPr>
        <w:t xml:space="preserve"> за </w:t>
      </w:r>
      <w:proofErr w:type="spellStart"/>
      <w:r>
        <w:rPr>
          <w:szCs w:val="24"/>
          <w:lang w:val="ru-RU"/>
        </w:rPr>
        <w:t>конкретната</w:t>
      </w:r>
      <w:proofErr w:type="spellEnd"/>
      <w:r>
        <w:rPr>
          <w:szCs w:val="24"/>
          <w:lang w:val="ru-RU"/>
        </w:rPr>
        <w:t xml:space="preserve"> ситуация оперативен план.</w:t>
      </w:r>
      <w:r>
        <w:rPr>
          <w:szCs w:val="24"/>
          <w:lang w:val="bg-BG"/>
        </w:rPr>
        <w:t xml:space="preserve"> </w:t>
      </w:r>
    </w:p>
    <w:p w14:paraId="0E7E580B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szCs w:val="24"/>
          <w:lang w:val="bg-BG"/>
        </w:rPr>
        <w:t>Разпределени са по териториален принцип в две зони (Северна и Южна) и четири района (Северозападен, Североизточен, Южен, и Югоизточен), но поддържат готовност да действат на територията на цялата страна.</w:t>
      </w:r>
    </w:p>
    <w:p w14:paraId="20045991" w14:textId="77777777" w:rsidR="00B606B8" w:rsidRDefault="00B606B8" w:rsidP="00B606B8">
      <w:pPr>
        <w:spacing w:line="360" w:lineRule="auto"/>
        <w:ind w:right="43" w:firstLine="27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Северна зона</w:t>
      </w:r>
    </w:p>
    <w:p w14:paraId="61ECD2A9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>Северозападен район</w:t>
      </w:r>
      <w:r>
        <w:rPr>
          <w:szCs w:val="24"/>
          <w:lang w:val="bg-BG"/>
        </w:rPr>
        <w:t xml:space="preserve"> – територията на областите с административни центрове Видин, Монтана, Враца, Плевен и Ловеч.</w:t>
      </w:r>
    </w:p>
    <w:p w14:paraId="555A8612" w14:textId="77777777" w:rsidR="00B606B8" w:rsidRDefault="00B606B8" w:rsidP="00B606B8">
      <w:pPr>
        <w:spacing w:line="360" w:lineRule="auto"/>
        <w:ind w:right="43" w:firstLine="27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Южна зона</w:t>
      </w:r>
    </w:p>
    <w:p w14:paraId="0CD630DE" w14:textId="77777777" w:rsidR="00B606B8" w:rsidRDefault="00B606B8" w:rsidP="00B606B8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>Южен район</w:t>
      </w:r>
      <w:r>
        <w:rPr>
          <w:szCs w:val="24"/>
          <w:lang w:val="bg-BG"/>
        </w:rPr>
        <w:t xml:space="preserve"> – територията на областите с административни центрове Пазарджик, Пловдив, Смолян, </w:t>
      </w:r>
      <w:r>
        <w:rPr>
          <w:b/>
          <w:szCs w:val="24"/>
          <w:lang w:val="bg-BG"/>
        </w:rPr>
        <w:t>Стара Загора</w:t>
      </w:r>
      <w:r>
        <w:rPr>
          <w:szCs w:val="24"/>
          <w:lang w:val="bg-BG"/>
        </w:rPr>
        <w:t>, Хасково и Кърджали.</w:t>
      </w:r>
    </w:p>
    <w:p w14:paraId="17AA722B" w14:textId="62DD1A33" w:rsidR="003819D0" w:rsidRPr="003819D0" w:rsidRDefault="00B606B8" w:rsidP="003819D0">
      <w:pPr>
        <w:spacing w:line="360" w:lineRule="auto"/>
        <w:ind w:right="43" w:firstLine="270"/>
        <w:jc w:val="both"/>
        <w:rPr>
          <w:szCs w:val="24"/>
          <w:lang w:val="bg-BG"/>
        </w:rPr>
      </w:pPr>
      <w:r>
        <w:rPr>
          <w:b/>
          <w:szCs w:val="24"/>
          <w:lang w:val="bg-BG"/>
        </w:rPr>
        <w:t>Югоизточен район</w:t>
      </w:r>
      <w:r>
        <w:rPr>
          <w:szCs w:val="24"/>
          <w:lang w:val="bg-BG"/>
        </w:rPr>
        <w:t xml:space="preserve"> – територията на областите с административни центрове Сливен, Ямбол и </w:t>
      </w:r>
      <w:proofErr w:type="spellStart"/>
      <w:r>
        <w:rPr>
          <w:szCs w:val="24"/>
          <w:lang w:val="bg-BG"/>
        </w:rPr>
        <w:t>Бурга</w:t>
      </w:r>
      <w:proofErr w:type="spellEnd"/>
    </w:p>
    <w:p w14:paraId="76C20BAF" w14:textId="77777777" w:rsidR="00267883" w:rsidRDefault="00267883" w:rsidP="00B606B8">
      <w:pPr>
        <w:spacing w:line="360" w:lineRule="auto"/>
        <w:ind w:right="43" w:firstLine="270"/>
        <w:jc w:val="both"/>
        <w:rPr>
          <w:szCs w:val="24"/>
        </w:rPr>
      </w:pPr>
    </w:p>
    <w:p w14:paraId="0D47381B" w14:textId="4383F8D7" w:rsidR="00267883" w:rsidRDefault="00267883" w:rsidP="00B606B8">
      <w:pPr>
        <w:spacing w:line="360" w:lineRule="auto"/>
        <w:ind w:right="43" w:firstLine="270"/>
        <w:jc w:val="both"/>
        <w:rPr>
          <w:szCs w:val="24"/>
        </w:rPr>
      </w:pPr>
    </w:p>
    <w:p w14:paraId="38EE1D6F" w14:textId="21EBF02F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736A1223" w14:textId="4746CB77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01F86CBA" w14:textId="326FBC8A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03A0D0FB" w14:textId="4B7DE54E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37D2BD0D" w14:textId="2AAB5BCA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0AED137A" w14:textId="4410E08C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568341A9" w14:textId="047AD254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76E3A380" w14:textId="16044E2D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3E37E4BF" w14:textId="014F4969" w:rsidR="003819D0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p w14:paraId="59BFE256" w14:textId="77777777" w:rsidR="003819D0" w:rsidRPr="00267883" w:rsidRDefault="003819D0" w:rsidP="00B606B8">
      <w:pPr>
        <w:spacing w:line="360" w:lineRule="auto"/>
        <w:ind w:right="43" w:firstLine="27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602"/>
        <w:gridCol w:w="1604"/>
        <w:gridCol w:w="1012"/>
        <w:gridCol w:w="2679"/>
        <w:gridCol w:w="1893"/>
      </w:tblGrid>
      <w:tr w:rsidR="005A198F" w:rsidRPr="00336BA3" w14:paraId="69692E16" w14:textId="77777777" w:rsidTr="00267883">
        <w:tc>
          <w:tcPr>
            <w:tcW w:w="498" w:type="dxa"/>
          </w:tcPr>
          <w:p w14:paraId="00401D48" w14:textId="77777777" w:rsidR="005A198F" w:rsidRDefault="005A198F" w:rsidP="002E7866">
            <w:pPr>
              <w:pStyle w:val="a4"/>
              <w:spacing w:line="360" w:lineRule="auto"/>
              <w:ind w:firstLine="0"/>
              <w:rPr>
                <w:b/>
                <w:lang w:val="bg-BG"/>
              </w:rPr>
            </w:pPr>
          </w:p>
          <w:p w14:paraId="36B012D9" w14:textId="77777777" w:rsidR="005A198F" w:rsidRPr="004406E6" w:rsidRDefault="005A198F" w:rsidP="002E7866">
            <w:pPr>
              <w:pStyle w:val="a4"/>
              <w:spacing w:line="360" w:lineRule="auto"/>
              <w:ind w:firstLine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№</w:t>
            </w:r>
          </w:p>
        </w:tc>
        <w:tc>
          <w:tcPr>
            <w:tcW w:w="1602" w:type="dxa"/>
          </w:tcPr>
          <w:p w14:paraId="1BCFD173" w14:textId="77777777" w:rsidR="005A198F" w:rsidRPr="00600EBE" w:rsidRDefault="005A198F" w:rsidP="002E7866">
            <w:pPr>
              <w:pStyle w:val="a4"/>
              <w:spacing w:line="360" w:lineRule="auto"/>
              <w:ind w:firstLine="0"/>
              <w:rPr>
                <w:b/>
                <w:sz w:val="24"/>
                <w:lang w:val="bg-BG"/>
              </w:rPr>
            </w:pPr>
            <w:r w:rsidRPr="00600EBE">
              <w:rPr>
                <w:b/>
                <w:sz w:val="24"/>
                <w:lang w:val="bg-BG"/>
              </w:rPr>
              <w:t>Оказване на помощ</w:t>
            </w:r>
          </w:p>
        </w:tc>
        <w:tc>
          <w:tcPr>
            <w:tcW w:w="1604" w:type="dxa"/>
          </w:tcPr>
          <w:p w14:paraId="0EA2D6A3" w14:textId="77777777" w:rsidR="005A198F" w:rsidRPr="00600EBE" w:rsidRDefault="005A198F" w:rsidP="002E7866">
            <w:pPr>
              <w:pStyle w:val="a4"/>
              <w:spacing w:line="360" w:lineRule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600EBE">
              <w:rPr>
                <w:b/>
                <w:sz w:val="24"/>
                <w:lang w:val="bg-BG"/>
              </w:rPr>
              <w:t>Брой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810E4FD" w14:textId="77777777" w:rsidR="005A198F" w:rsidRPr="00600EBE" w:rsidRDefault="005A198F" w:rsidP="002E7866">
            <w:pPr>
              <w:pStyle w:val="a4"/>
              <w:spacing w:line="360" w:lineRule="auto"/>
              <w:ind w:firstLine="0"/>
              <w:rPr>
                <w:b/>
                <w:sz w:val="24"/>
                <w:lang w:val="bg-BG"/>
              </w:rPr>
            </w:pPr>
            <w:r w:rsidRPr="00600EBE">
              <w:rPr>
                <w:b/>
                <w:sz w:val="24"/>
                <w:lang w:val="bg-BG"/>
              </w:rPr>
              <w:t>Състав</w:t>
            </w: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14:paraId="5B2D731C" w14:textId="77777777" w:rsidR="005A198F" w:rsidRPr="00600EBE" w:rsidRDefault="005A198F" w:rsidP="002E7866">
            <w:pPr>
              <w:pStyle w:val="a4"/>
              <w:spacing w:line="360" w:lineRule="auto"/>
              <w:ind w:firstLine="0"/>
              <w:rPr>
                <w:b/>
                <w:sz w:val="24"/>
                <w:lang w:val="bg-BG"/>
              </w:rPr>
            </w:pPr>
            <w:r w:rsidRPr="00600EBE">
              <w:rPr>
                <w:b/>
                <w:sz w:val="24"/>
                <w:lang w:val="bg-BG"/>
              </w:rPr>
              <w:t>Техника</w:t>
            </w:r>
          </w:p>
        </w:tc>
        <w:tc>
          <w:tcPr>
            <w:tcW w:w="1893" w:type="dxa"/>
          </w:tcPr>
          <w:p w14:paraId="79A5D1A9" w14:textId="77777777" w:rsidR="005A198F" w:rsidRPr="00600EBE" w:rsidRDefault="005A198F" w:rsidP="002E7866">
            <w:pPr>
              <w:pStyle w:val="a4"/>
              <w:spacing w:line="360" w:lineRule="auto"/>
              <w:ind w:firstLine="0"/>
              <w:rPr>
                <w:b/>
                <w:sz w:val="22"/>
                <w:szCs w:val="22"/>
                <w:lang w:val="en-US"/>
              </w:rPr>
            </w:pPr>
            <w:r w:rsidRPr="00600EBE">
              <w:rPr>
                <w:b/>
                <w:sz w:val="24"/>
                <w:lang w:val="bg-BG"/>
              </w:rPr>
              <w:t>Формирования за овладяване и/или преодоляване на последствията от бедствия</w:t>
            </w:r>
          </w:p>
        </w:tc>
      </w:tr>
      <w:tr w:rsidR="005A198F" w:rsidRPr="00336BA3" w14:paraId="45DDC0E9" w14:textId="77777777" w:rsidTr="00267883">
        <w:tc>
          <w:tcPr>
            <w:tcW w:w="498" w:type="dxa"/>
          </w:tcPr>
          <w:p w14:paraId="0319FF34" w14:textId="77777777" w:rsidR="005A198F" w:rsidRPr="004406E6" w:rsidRDefault="005A198F" w:rsidP="002E7866">
            <w:pPr>
              <w:pStyle w:val="a4"/>
              <w:spacing w:line="360" w:lineRule="auto"/>
              <w:ind w:firstLine="0"/>
              <w:rPr>
                <w:b/>
                <w:lang w:val="bg-BG"/>
              </w:rPr>
            </w:pPr>
            <w:r>
              <w:rPr>
                <w:b/>
                <w:lang w:val="bg-BG"/>
              </w:rPr>
              <w:t>4</w:t>
            </w:r>
          </w:p>
        </w:tc>
        <w:tc>
          <w:tcPr>
            <w:tcW w:w="1602" w:type="dxa"/>
          </w:tcPr>
          <w:p w14:paraId="17600F03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При ликвидиране на последствията при наводнения</w:t>
            </w:r>
          </w:p>
        </w:tc>
        <w:tc>
          <w:tcPr>
            <w:tcW w:w="1604" w:type="dxa"/>
          </w:tcPr>
          <w:p w14:paraId="5B2CA482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2</w:t>
            </w:r>
          </w:p>
          <w:p w14:paraId="5AAFE578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формирования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2903090F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 xml:space="preserve">Личен състав </w:t>
            </w:r>
          </w:p>
          <w:p w14:paraId="747F3D77" w14:textId="439D025C" w:rsidR="005A198F" w:rsidRPr="002A44F0" w:rsidRDefault="003819D0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20</w:t>
            </w:r>
            <w:r w:rsidR="005A198F" w:rsidRPr="002A44F0">
              <w:rPr>
                <w:sz w:val="22"/>
                <w:szCs w:val="22"/>
                <w:lang w:val="bg-BG"/>
              </w:rPr>
              <w:t xml:space="preserve"> човека </w:t>
            </w:r>
          </w:p>
          <w:p w14:paraId="50660733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752F0ADD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28C0AA3C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024F93A5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41DFDE3C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445D6D9B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4F429A91" w14:textId="77777777" w:rsidR="00CE4D99" w:rsidRDefault="00CE4D99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49307C8D" w14:textId="77777777" w:rsidR="00CE4D99" w:rsidRDefault="00CE4D99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6426F8D3" w14:textId="6820A48B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 xml:space="preserve">Личен състав  </w:t>
            </w:r>
            <w:r w:rsidR="003819D0">
              <w:rPr>
                <w:sz w:val="22"/>
                <w:szCs w:val="22"/>
                <w:lang w:val="bg-BG"/>
              </w:rPr>
              <w:t>15</w:t>
            </w:r>
            <w:r w:rsidRPr="002A44F0">
              <w:rPr>
                <w:sz w:val="22"/>
                <w:szCs w:val="22"/>
                <w:lang w:val="bg-BG"/>
              </w:rPr>
              <w:t xml:space="preserve"> човека</w:t>
            </w:r>
          </w:p>
          <w:p w14:paraId="46249B0E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055D5137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</w:tc>
        <w:tc>
          <w:tcPr>
            <w:tcW w:w="2679" w:type="dxa"/>
            <w:tcBorders>
              <w:bottom w:val="single" w:sz="4" w:space="0" w:color="auto"/>
            </w:tcBorders>
          </w:tcPr>
          <w:p w14:paraId="68015863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ТАПП-2бр.,подвижна автомобилна работилница-1бр.,санитарен автомобил-1бр.,радиостанция-КЩМ-1бр.,надуваема лодка с извънбордов двигател-2бр.,моторни триони-1бр. и моторна помпа -1 бр.</w:t>
            </w:r>
          </w:p>
          <w:p w14:paraId="16A8AAA7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5FA79697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3B491B76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ТАПП-2бр.,подвижна автомобилна работилница-1бр.,санитарен автомобил-1бр.,радиостанция.КЩМ-1бр., надуваема лодка с извън бордов двигател-2бр.,моторни нриони-1 бр. и моторна помпа 1 бр.</w:t>
            </w:r>
          </w:p>
        </w:tc>
        <w:tc>
          <w:tcPr>
            <w:tcW w:w="1893" w:type="dxa"/>
          </w:tcPr>
          <w:p w14:paraId="7EAF5A53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в.ф. 44200-</w:t>
            </w:r>
          </w:p>
          <w:p w14:paraId="282927E7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Стара Загора</w:t>
            </w:r>
          </w:p>
          <w:p w14:paraId="4DEC853C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05C0311B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39289846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6566897F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29B5C5B3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3D6E2178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</w:p>
          <w:p w14:paraId="4506D056" w14:textId="77777777" w:rsidR="00CE4D99" w:rsidRDefault="00CE4D99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3173419E" w14:textId="77777777" w:rsidR="00CE4D99" w:rsidRDefault="00CE4D99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2DA92417" w14:textId="77777777" w:rsidR="00CE4D99" w:rsidRDefault="00CE4D99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4CDA4A17" w14:textId="77777777" w:rsidR="00CE4D99" w:rsidRDefault="00CE4D99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6D5935FC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в.ф.48430-</w:t>
            </w:r>
          </w:p>
          <w:p w14:paraId="1278F864" w14:textId="77777777" w:rsidR="005A198F" w:rsidRPr="002A44F0" w:rsidRDefault="005A198F" w:rsidP="002E7866">
            <w:pPr>
              <w:pStyle w:val="a4"/>
              <w:spacing w:line="360" w:lineRule="auto"/>
              <w:ind w:firstLine="0"/>
              <w:rPr>
                <w:sz w:val="22"/>
                <w:szCs w:val="22"/>
                <w:lang w:val="bg-BG"/>
              </w:rPr>
            </w:pPr>
            <w:r w:rsidRPr="002A44F0">
              <w:rPr>
                <w:sz w:val="22"/>
                <w:szCs w:val="22"/>
                <w:lang w:val="bg-BG"/>
              </w:rPr>
              <w:t>Стара Загора</w:t>
            </w:r>
          </w:p>
        </w:tc>
      </w:tr>
    </w:tbl>
    <w:p w14:paraId="673E8767" w14:textId="77777777" w:rsidR="005D3DED" w:rsidRDefault="005D3DED"/>
    <w:p w14:paraId="64DD75AC" w14:textId="574314DB" w:rsidR="005D3DED" w:rsidRDefault="005D3DED">
      <w:pPr>
        <w:spacing w:after="200" w:line="276" w:lineRule="auto"/>
      </w:pPr>
    </w:p>
    <w:sectPr w:rsidR="005D3DED" w:rsidSect="003819D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69E87" w14:textId="77777777" w:rsidR="00EC5746" w:rsidRDefault="00EC5746" w:rsidP="00267883">
      <w:r>
        <w:separator/>
      </w:r>
    </w:p>
  </w:endnote>
  <w:endnote w:type="continuationSeparator" w:id="0">
    <w:p w14:paraId="459295F3" w14:textId="77777777" w:rsidR="00EC5746" w:rsidRDefault="00EC5746" w:rsidP="0026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97AE5" w14:textId="77777777" w:rsidR="00EC5746" w:rsidRDefault="00EC5746" w:rsidP="00267883">
      <w:r>
        <w:separator/>
      </w:r>
    </w:p>
  </w:footnote>
  <w:footnote w:type="continuationSeparator" w:id="0">
    <w:p w14:paraId="0A0BA38D" w14:textId="77777777" w:rsidR="00EC5746" w:rsidRDefault="00EC5746" w:rsidP="00267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70B3D"/>
    <w:multiLevelType w:val="hybridMultilevel"/>
    <w:tmpl w:val="CC020D38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6B8"/>
    <w:rsid w:val="000C3076"/>
    <w:rsid w:val="001E49F3"/>
    <w:rsid w:val="00222671"/>
    <w:rsid w:val="002449F6"/>
    <w:rsid w:val="00267883"/>
    <w:rsid w:val="003819D0"/>
    <w:rsid w:val="003D74F4"/>
    <w:rsid w:val="005566A6"/>
    <w:rsid w:val="00561D0F"/>
    <w:rsid w:val="005A198F"/>
    <w:rsid w:val="005D3DED"/>
    <w:rsid w:val="005E0F10"/>
    <w:rsid w:val="009725A7"/>
    <w:rsid w:val="009A4A40"/>
    <w:rsid w:val="009B1ACD"/>
    <w:rsid w:val="00B606B8"/>
    <w:rsid w:val="00C61CAD"/>
    <w:rsid w:val="00CE4D99"/>
    <w:rsid w:val="00DF6EB1"/>
    <w:rsid w:val="00E1670A"/>
    <w:rsid w:val="00EC5746"/>
    <w:rsid w:val="00F47B02"/>
    <w:rsid w:val="00FD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548F1"/>
  <w15:docId w15:val="{FD127A43-311F-4209-878A-F5D611942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6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5A198F"/>
    <w:pPr>
      <w:ind w:firstLine="720"/>
      <w:jc w:val="both"/>
    </w:pPr>
    <w:rPr>
      <w:sz w:val="28"/>
      <w:szCs w:val="24"/>
      <w:lang w:val="en-GB"/>
    </w:rPr>
  </w:style>
  <w:style w:type="character" w:customStyle="1" w:styleId="a5">
    <w:name w:val="Основен текст с отстъп Знак"/>
    <w:basedOn w:val="a0"/>
    <w:link w:val="a4"/>
    <w:rsid w:val="005A198F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a6">
    <w:name w:val="header"/>
    <w:basedOn w:val="a"/>
    <w:link w:val="a7"/>
    <w:uiPriority w:val="99"/>
    <w:semiHidden/>
    <w:unhideWhenUsed/>
    <w:rsid w:val="0026788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26788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semiHidden/>
    <w:unhideWhenUsed/>
    <w:rsid w:val="0026788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267883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1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gurkovo_obs@abv.bg</cp:lastModifiedBy>
  <cp:revision>14</cp:revision>
  <cp:lastPrinted>2020-06-22T12:58:00Z</cp:lastPrinted>
  <dcterms:created xsi:type="dcterms:W3CDTF">2020-06-22T09:03:00Z</dcterms:created>
  <dcterms:modified xsi:type="dcterms:W3CDTF">2025-03-28T14:00:00Z</dcterms:modified>
</cp:coreProperties>
</file>